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DC35" w14:textId="77777777" w:rsidR="00320CDA" w:rsidRDefault="004119E5" w:rsidP="00320CDA">
      <w:pPr>
        <w:autoSpaceDE w:val="0"/>
        <w:autoSpaceDN w:val="0"/>
        <w:adjustRightInd w:val="0"/>
        <w:spacing w:after="0" w:line="240" w:lineRule="auto"/>
        <w:sectPr w:rsidR="00320CDA" w:rsidSect="00336D20">
          <w:headerReference w:type="default" r:id="rId9"/>
          <w:footerReference w:type="default" r:id="rId10"/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  <w:r w:rsidRPr="00C15ABA">
        <w:t xml:space="preserve"> </w:t>
      </w:r>
    </w:p>
    <w:p w14:paraId="47EC215D" w14:textId="77777777" w:rsidR="00320CDA" w:rsidRPr="00320CDA" w:rsidRDefault="00320CDA" w:rsidP="00320C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</w:rPr>
      </w:pPr>
      <w:r w:rsidRPr="00320CDA">
        <w:rPr>
          <w:rFonts w:cstheme="minorHAnsi"/>
          <w:b/>
          <w:bCs/>
          <w:color w:val="FF0000"/>
        </w:rPr>
        <w:t>The 28</w:t>
      </w:r>
      <w:r w:rsidRPr="00320CDA">
        <w:rPr>
          <w:rFonts w:cstheme="minorHAnsi"/>
          <w:b/>
          <w:bCs/>
          <w:color w:val="FF0000"/>
          <w:vertAlign w:val="superscript"/>
        </w:rPr>
        <w:t>th</w:t>
      </w:r>
      <w:r w:rsidRPr="00320CDA">
        <w:rPr>
          <w:rFonts w:cstheme="minorHAnsi"/>
          <w:b/>
          <w:bCs/>
          <w:color w:val="FF0000"/>
        </w:rPr>
        <w:t xml:space="preserve"> Annual Evidence-Based</w:t>
      </w:r>
    </w:p>
    <w:p w14:paraId="48C8D383" w14:textId="77777777" w:rsidR="00320CDA" w:rsidRPr="00320CDA" w:rsidRDefault="00320CDA" w:rsidP="00320C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  <w:r w:rsidRPr="00320CDA">
        <w:rPr>
          <w:rFonts w:cstheme="minorHAnsi"/>
          <w:b/>
          <w:bCs/>
          <w:color w:val="FF0000"/>
        </w:rPr>
        <w:t>Practice Conference</w:t>
      </w:r>
    </w:p>
    <w:p w14:paraId="5B67238D" w14:textId="77777777" w:rsidR="00320CDA" w:rsidRPr="00320CDA" w:rsidRDefault="00320CDA" w:rsidP="00320C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</w:rPr>
      </w:pPr>
      <w:r w:rsidRPr="00320CDA">
        <w:rPr>
          <w:rFonts w:cstheme="minorHAnsi"/>
          <w:b/>
          <w:bCs/>
          <w:i/>
          <w:iCs/>
          <w:color w:val="FF0000"/>
        </w:rPr>
        <w:t>The Future of Nursing: To Infinity &amp; Beyond</w:t>
      </w:r>
    </w:p>
    <w:p w14:paraId="1ECBC5B2" w14:textId="77777777" w:rsidR="00320CDA" w:rsidRPr="00320CDA" w:rsidRDefault="00320CDA" w:rsidP="00320C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</w:p>
    <w:p w14:paraId="0A6BFF9B" w14:textId="77777777" w:rsidR="00320CDA" w:rsidRPr="00320CDA" w:rsidRDefault="00320CDA" w:rsidP="00320C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  <w:r w:rsidRPr="00320CDA">
        <w:rPr>
          <w:rFonts w:cstheme="minorHAnsi"/>
          <w:b/>
          <w:bCs/>
          <w:color w:val="FF0000"/>
        </w:rPr>
        <w:t>Thursday, October 17th &amp; Friday, October 18th</w:t>
      </w:r>
    </w:p>
    <w:p w14:paraId="6C398ACA" w14:textId="77777777" w:rsidR="00320CDA" w:rsidRPr="00320CDA" w:rsidRDefault="00320CDA" w:rsidP="00320C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  <w:r w:rsidRPr="00320CDA">
        <w:rPr>
          <w:rFonts w:cstheme="minorHAnsi"/>
          <w:b/>
          <w:bCs/>
          <w:color w:val="FF0000"/>
        </w:rPr>
        <w:t>Presented by:</w:t>
      </w:r>
    </w:p>
    <w:p w14:paraId="768E4B09" w14:textId="77777777" w:rsidR="00320CDA" w:rsidRPr="00320CDA" w:rsidRDefault="00320CDA" w:rsidP="00320C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  <w:r w:rsidRPr="00320CDA">
        <w:rPr>
          <w:rFonts w:cstheme="minorHAnsi"/>
          <w:b/>
          <w:bCs/>
          <w:color w:val="FF0000"/>
        </w:rPr>
        <w:t>The Connecticut Nursing</w:t>
      </w:r>
    </w:p>
    <w:p w14:paraId="6EF14D6D" w14:textId="4BE18896" w:rsidR="00320CDA" w:rsidRPr="00320CDA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75Bold" w:hAnsi="CaeciliaLTPro-75Bold" w:cs="CaeciliaLTPro-75Bold"/>
          <w:b/>
          <w:bCs/>
          <w:color w:val="FF0000"/>
          <w:sz w:val="20"/>
          <w:szCs w:val="20"/>
          <w:u w:val="single"/>
        </w:rPr>
      </w:pPr>
      <w:r w:rsidRPr="00320CDA">
        <w:rPr>
          <w:rFonts w:cstheme="minorHAnsi"/>
          <w:b/>
          <w:bCs/>
          <w:color w:val="FF0000"/>
        </w:rPr>
        <w:t>Research Alliance</w:t>
      </w:r>
    </w:p>
    <w:p w14:paraId="034725A8" w14:textId="77777777" w:rsidR="00320CDA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75Bold" w:hAnsi="CaeciliaLTPro-75Bold" w:cs="CaeciliaLTPro-75Bold"/>
          <w:b/>
          <w:bCs/>
          <w:color w:val="262626"/>
          <w:sz w:val="20"/>
          <w:szCs w:val="20"/>
          <w:u w:val="single"/>
        </w:rPr>
      </w:pPr>
    </w:p>
    <w:p w14:paraId="64A8AE93" w14:textId="5B7C454B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75Bold" w:hAnsi="CaeciliaLTPro-75Bold" w:cs="CaeciliaLTPro-75Bold"/>
          <w:b/>
          <w:bCs/>
          <w:color w:val="262626"/>
          <w:sz w:val="20"/>
          <w:szCs w:val="20"/>
          <w:u w:val="single"/>
        </w:rPr>
      </w:pPr>
      <w:r w:rsidRPr="00A73305">
        <w:rPr>
          <w:rFonts w:ascii="CaeciliaLTPro-75Bold" w:hAnsi="CaeciliaLTPro-75Bold" w:cs="CaeciliaLTPro-75Bold"/>
          <w:b/>
          <w:bCs/>
          <w:color w:val="262626"/>
          <w:sz w:val="20"/>
          <w:szCs w:val="20"/>
          <w:u w:val="single"/>
        </w:rPr>
        <w:t>Oral Presentation</w:t>
      </w:r>
    </w:p>
    <w:p w14:paraId="363E2029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</w:pPr>
    </w:p>
    <w:p w14:paraId="086487CF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</w:pPr>
      <w:r w:rsidRPr="00A73305"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  <w:t>Adapting Orientation to Support a New Generation of Nurses: A quality</w:t>
      </w:r>
    </w:p>
    <w:p w14:paraId="13BACB8C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</w:pPr>
      <w:r w:rsidRPr="00A73305"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  <w:t>improvement project utilizing a Tiered Skills Acquisition Model</w:t>
      </w:r>
    </w:p>
    <w:p w14:paraId="001F67F2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45Light" w:hAnsi="CaeciliaLTPro-45Light" w:cs="CaeciliaLTPro-45Light"/>
          <w:color w:val="262626"/>
          <w:sz w:val="20"/>
          <w:szCs w:val="20"/>
        </w:rPr>
      </w:pPr>
      <w:r w:rsidRPr="00A73305">
        <w:rPr>
          <w:rFonts w:ascii="CaeciliaLTPro-45Light" w:hAnsi="CaeciliaLTPro-45Light" w:cs="CaeciliaLTPro-45Light"/>
          <w:color w:val="262626"/>
          <w:sz w:val="20"/>
          <w:szCs w:val="20"/>
          <w:highlight w:val="yellow"/>
        </w:rPr>
        <w:t xml:space="preserve">Tabitha Whetham, </w:t>
      </w:r>
      <w:proofErr w:type="spellStart"/>
      <w:r w:rsidRPr="00A73305">
        <w:rPr>
          <w:rFonts w:ascii="CaeciliaLTPro-45Light" w:hAnsi="CaeciliaLTPro-45Light" w:cs="CaeciliaLTPro-45Light"/>
          <w:color w:val="262626"/>
          <w:sz w:val="20"/>
          <w:szCs w:val="20"/>
          <w:highlight w:val="yellow"/>
        </w:rPr>
        <w:t>MSNc</w:t>
      </w:r>
      <w:proofErr w:type="spellEnd"/>
      <w:r w:rsidRPr="00A73305">
        <w:rPr>
          <w:rFonts w:ascii="CaeciliaLTPro-45Light" w:hAnsi="CaeciliaLTPro-45Light" w:cs="CaeciliaLTPro-45Light"/>
          <w:color w:val="262626"/>
          <w:sz w:val="20"/>
          <w:szCs w:val="20"/>
          <w:highlight w:val="yellow"/>
        </w:rPr>
        <w:t xml:space="preserve">, BSN, RN; </w:t>
      </w:r>
      <w:r w:rsidRPr="00A73305">
        <w:rPr>
          <w:rFonts w:ascii="CaeciliaLTPro-45Light" w:hAnsi="CaeciliaLTPro-45Light" w:cs="CaeciliaLTPro-45Light"/>
          <w:color w:val="262626"/>
          <w:sz w:val="20"/>
          <w:szCs w:val="20"/>
        </w:rPr>
        <w:t>Sarah Gallagher, MSN, RN</w:t>
      </w:r>
    </w:p>
    <w:p w14:paraId="4FE3573A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</w:pPr>
      <w:r w:rsidRPr="00A73305">
        <w:rPr>
          <w:rFonts w:ascii="CaeciliaLTPro-45Light" w:hAnsi="CaeciliaLTPro-45Light" w:cs="CaeciliaLTPro-45Light"/>
          <w:color w:val="262626"/>
          <w:sz w:val="20"/>
          <w:szCs w:val="20"/>
        </w:rPr>
        <w:t>Hartford Hospital</w:t>
      </w:r>
    </w:p>
    <w:p w14:paraId="5F961B45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</w:pPr>
    </w:p>
    <w:p w14:paraId="1CA10E12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75Bold" w:hAnsi="CaeciliaLTPro-75Bold" w:cs="CaeciliaLTPro-75Bold"/>
          <w:b/>
          <w:bCs/>
          <w:color w:val="262626"/>
          <w:sz w:val="20"/>
          <w:szCs w:val="20"/>
          <w:u w:val="single"/>
        </w:rPr>
      </w:pPr>
      <w:r w:rsidRPr="00A73305">
        <w:rPr>
          <w:rFonts w:ascii="CaeciliaLTPro-75Bold" w:hAnsi="CaeciliaLTPro-75Bold" w:cs="CaeciliaLTPro-75Bold"/>
          <w:b/>
          <w:bCs/>
          <w:color w:val="262626"/>
          <w:sz w:val="20"/>
          <w:szCs w:val="20"/>
          <w:u w:val="single"/>
        </w:rPr>
        <w:t>Poster Presentation</w:t>
      </w:r>
    </w:p>
    <w:p w14:paraId="69A58082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</w:pPr>
    </w:p>
    <w:p w14:paraId="0D3FEF5E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</w:pPr>
      <w:r w:rsidRPr="00A73305"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  <w:t>Leveraging the Perinatal Safety Nurse in Decreasing Surgical Site Infections After</w:t>
      </w:r>
    </w:p>
    <w:p w14:paraId="68CEB174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</w:pPr>
      <w:r w:rsidRPr="00A73305"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  <w:t>Cesarean Sections</w:t>
      </w:r>
    </w:p>
    <w:p w14:paraId="5C7A93D8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55Roman" w:hAnsi="CaeciliaLTPro-55Roman" w:cs="CaeciliaLTPro-55Roman"/>
          <w:color w:val="262626"/>
          <w:sz w:val="20"/>
          <w:szCs w:val="20"/>
        </w:rPr>
      </w:pPr>
      <w:r w:rsidRPr="00A73305">
        <w:rPr>
          <w:rFonts w:ascii="CaeciliaLTPro-55Roman" w:hAnsi="CaeciliaLTPro-55Roman" w:cs="CaeciliaLTPro-55Roman"/>
          <w:color w:val="262626"/>
          <w:sz w:val="20"/>
          <w:szCs w:val="20"/>
          <w:highlight w:val="yellow"/>
        </w:rPr>
        <w:t>Jessica Bancroft-Davis, MSN, RNC-OB, C-ONQS, C-EFM</w:t>
      </w:r>
      <w:r w:rsidRPr="00A73305">
        <w:rPr>
          <w:rFonts w:ascii="CaeciliaLTPro-55Roman" w:hAnsi="CaeciliaLTPro-55Roman" w:cs="CaeciliaLTPro-55Roman"/>
          <w:color w:val="262626"/>
          <w:sz w:val="20"/>
          <w:szCs w:val="20"/>
        </w:rPr>
        <w:t>; Kathryn Galvin, MS, MLS(ASCP)CM,</w:t>
      </w:r>
    </w:p>
    <w:p w14:paraId="6586A41A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</w:pPr>
      <w:r w:rsidRPr="00A73305">
        <w:rPr>
          <w:rFonts w:ascii="CaeciliaLTPro-55Roman" w:hAnsi="CaeciliaLTPro-55Roman" w:cs="CaeciliaLTPro-55Roman"/>
          <w:color w:val="262626"/>
          <w:sz w:val="20"/>
          <w:szCs w:val="20"/>
        </w:rPr>
        <w:t>CIC, C-ONQS; Kimberly Montero, MBA; Pamela Moran, MT(ASCP), CIC</w:t>
      </w:r>
    </w:p>
    <w:p w14:paraId="79526317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</w:pPr>
    </w:p>
    <w:p w14:paraId="68B06DE7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</w:pPr>
      <w:r w:rsidRPr="00A73305"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  <w:t>Bridging the Past to Build the Future: Enhancing Nursing Education through Simulation at</w:t>
      </w:r>
    </w:p>
    <w:p w14:paraId="53751D32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</w:pPr>
      <w:r w:rsidRPr="00A73305"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  <w:t>Connecticut State Community College Gateway Campus</w:t>
      </w:r>
    </w:p>
    <w:p w14:paraId="4EEDDEAE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55Roman" w:hAnsi="CaeciliaLTPro-55Roman" w:cs="CaeciliaLTPro-55Roman"/>
          <w:color w:val="262626"/>
          <w:sz w:val="20"/>
          <w:szCs w:val="20"/>
        </w:rPr>
      </w:pPr>
      <w:r w:rsidRPr="00A73305">
        <w:rPr>
          <w:rFonts w:ascii="CaeciliaLTPro-55Roman" w:hAnsi="CaeciliaLTPro-55Roman" w:cs="CaeciliaLTPro-55Roman"/>
          <w:color w:val="262626"/>
          <w:sz w:val="20"/>
          <w:szCs w:val="20"/>
          <w:highlight w:val="yellow"/>
        </w:rPr>
        <w:t>Maria Goode, MSN, RN, CEN</w:t>
      </w:r>
    </w:p>
    <w:p w14:paraId="1684990C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45Light" w:hAnsi="CaeciliaLTPro-45Light" w:cs="CaeciliaLTPro-45Light"/>
          <w:color w:val="262626"/>
          <w:sz w:val="20"/>
          <w:szCs w:val="20"/>
        </w:rPr>
      </w:pPr>
      <w:r w:rsidRPr="00A73305">
        <w:rPr>
          <w:rFonts w:ascii="CaeciliaLTPro-45Light" w:hAnsi="CaeciliaLTPro-45Light" w:cs="CaeciliaLTPro-45Light"/>
          <w:color w:val="262626"/>
          <w:sz w:val="20"/>
          <w:szCs w:val="20"/>
        </w:rPr>
        <w:t>Connecticut State Community College, Gateway Campus</w:t>
      </w:r>
    </w:p>
    <w:p w14:paraId="77F0210C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45Light" w:hAnsi="CaeciliaLTPro-45Light" w:cs="CaeciliaLTPro-45Light"/>
          <w:color w:val="262626"/>
          <w:sz w:val="20"/>
          <w:szCs w:val="20"/>
        </w:rPr>
      </w:pPr>
    </w:p>
    <w:p w14:paraId="5ED15E39" w14:textId="77777777" w:rsidR="00320CDA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</w:pPr>
    </w:p>
    <w:p w14:paraId="487BEC85" w14:textId="77777777" w:rsidR="00320CDA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</w:pPr>
    </w:p>
    <w:p w14:paraId="5230B255" w14:textId="21189E41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</w:pPr>
      <w:r w:rsidRPr="00A73305"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  <w:t>Bending to Avoid a Break: Flexible Work Arrangement in Nursing Professional Development</w:t>
      </w:r>
    </w:p>
    <w:p w14:paraId="31365327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55Roman" w:hAnsi="CaeciliaLTPro-55Roman" w:cs="CaeciliaLTPro-55Roman"/>
          <w:color w:val="262626"/>
          <w:sz w:val="20"/>
          <w:szCs w:val="20"/>
        </w:rPr>
      </w:pPr>
      <w:r w:rsidRPr="00A73305">
        <w:rPr>
          <w:rFonts w:ascii="CaeciliaLTPro-55Roman" w:hAnsi="CaeciliaLTPro-55Roman" w:cs="CaeciliaLTPro-55Roman"/>
          <w:color w:val="262626"/>
          <w:sz w:val="20"/>
          <w:szCs w:val="20"/>
        </w:rPr>
        <w:t>Sarah Gallagher, MSN, RN; Emily Boucher, MSN, RN, OCN; Megan Harris, MSN, RN, CCRN-K;</w:t>
      </w:r>
    </w:p>
    <w:p w14:paraId="0C20C4B4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55Roman" w:hAnsi="CaeciliaLTPro-55Roman" w:cs="CaeciliaLTPro-55Roman"/>
          <w:color w:val="262626"/>
          <w:sz w:val="20"/>
          <w:szCs w:val="20"/>
        </w:rPr>
      </w:pPr>
      <w:r w:rsidRPr="00A73305">
        <w:rPr>
          <w:rFonts w:ascii="CaeciliaLTPro-55Roman" w:hAnsi="CaeciliaLTPro-55Roman" w:cs="CaeciliaLTPro-55Roman"/>
          <w:color w:val="262626"/>
          <w:sz w:val="20"/>
          <w:szCs w:val="20"/>
        </w:rPr>
        <w:t xml:space="preserve">Shay Nevins, MSN, RN; </w:t>
      </w:r>
      <w:r w:rsidRPr="00A73305">
        <w:rPr>
          <w:rFonts w:ascii="CaeciliaLTPro-55Roman" w:hAnsi="CaeciliaLTPro-55Roman" w:cs="CaeciliaLTPro-55Roman"/>
          <w:color w:val="262626"/>
          <w:sz w:val="20"/>
          <w:szCs w:val="20"/>
          <w:highlight w:val="yellow"/>
        </w:rPr>
        <w:t>Susanne Yeakel, MSN, RN</w:t>
      </w:r>
    </w:p>
    <w:p w14:paraId="6026F672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45Light" w:hAnsi="CaeciliaLTPro-45Light" w:cs="CaeciliaLTPro-45Light"/>
          <w:color w:val="262626"/>
          <w:sz w:val="20"/>
          <w:szCs w:val="20"/>
        </w:rPr>
      </w:pPr>
      <w:r w:rsidRPr="00A73305">
        <w:rPr>
          <w:rFonts w:ascii="CaeciliaLTPro-45Light" w:hAnsi="CaeciliaLTPro-45Light" w:cs="CaeciliaLTPro-45Light"/>
          <w:color w:val="262626"/>
          <w:sz w:val="20"/>
          <w:szCs w:val="20"/>
        </w:rPr>
        <w:t>Harford Hospital</w:t>
      </w:r>
    </w:p>
    <w:p w14:paraId="51C95113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45Light" w:hAnsi="CaeciliaLTPro-45Light" w:cs="CaeciliaLTPro-45Light"/>
          <w:color w:val="262626"/>
          <w:sz w:val="20"/>
          <w:szCs w:val="20"/>
        </w:rPr>
      </w:pPr>
    </w:p>
    <w:p w14:paraId="333821B1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</w:pPr>
      <w:r w:rsidRPr="00A73305"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  <w:t>Transforming Chemotherapy Training with Simulation-Based Learning:</w:t>
      </w:r>
    </w:p>
    <w:p w14:paraId="0B714A56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</w:pPr>
      <w:r w:rsidRPr="00A73305"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  <w:t>A Method for Improving Preparedness of Novice Chemotherapy Nurses</w:t>
      </w:r>
    </w:p>
    <w:p w14:paraId="143D8037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55Roman" w:hAnsi="CaeciliaLTPro-55Roman" w:cs="CaeciliaLTPro-55Roman"/>
          <w:color w:val="262626"/>
          <w:sz w:val="20"/>
          <w:szCs w:val="20"/>
        </w:rPr>
      </w:pPr>
      <w:r w:rsidRPr="00A73305">
        <w:rPr>
          <w:rFonts w:ascii="CaeciliaLTPro-55Roman" w:hAnsi="CaeciliaLTPro-55Roman" w:cs="CaeciliaLTPro-55Roman"/>
          <w:color w:val="262626"/>
          <w:sz w:val="20"/>
          <w:szCs w:val="20"/>
          <w:highlight w:val="yellow"/>
        </w:rPr>
        <w:t>Sabra Dunn, MSN, RN, OCN; Emily Boucher, MSN, RN, OCN</w:t>
      </w:r>
      <w:r w:rsidRPr="00A73305">
        <w:rPr>
          <w:rFonts w:ascii="CaeciliaLTPro-55Roman" w:hAnsi="CaeciliaLTPro-55Roman" w:cs="CaeciliaLTPro-55Roman"/>
          <w:color w:val="262626"/>
          <w:sz w:val="20"/>
          <w:szCs w:val="20"/>
        </w:rPr>
        <w:t>;</w:t>
      </w:r>
    </w:p>
    <w:p w14:paraId="166C6F96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55Roman" w:hAnsi="CaeciliaLTPro-55Roman" w:cs="CaeciliaLTPro-55Roman"/>
          <w:color w:val="262626"/>
          <w:sz w:val="20"/>
          <w:szCs w:val="20"/>
        </w:rPr>
      </w:pPr>
      <w:r w:rsidRPr="00A73305">
        <w:rPr>
          <w:rFonts w:ascii="CaeciliaLTPro-55Roman" w:hAnsi="CaeciliaLTPro-55Roman" w:cs="CaeciliaLTPro-55Roman"/>
          <w:color w:val="262626"/>
          <w:sz w:val="20"/>
          <w:szCs w:val="20"/>
        </w:rPr>
        <w:t>Brianna Rebecchi, MSN, RN, OCN</w:t>
      </w:r>
    </w:p>
    <w:p w14:paraId="59018A68" w14:textId="77777777" w:rsidR="00320CDA" w:rsidRPr="00A73305" w:rsidRDefault="00320CDA" w:rsidP="00320CDA">
      <w:pPr>
        <w:rPr>
          <w:sz w:val="20"/>
          <w:szCs w:val="20"/>
        </w:rPr>
      </w:pPr>
      <w:r w:rsidRPr="00A73305">
        <w:rPr>
          <w:rFonts w:ascii="CaeciliaLTPro-45Light" w:hAnsi="CaeciliaLTPro-45Light" w:cs="CaeciliaLTPro-45Light"/>
          <w:color w:val="262626"/>
          <w:sz w:val="20"/>
          <w:szCs w:val="20"/>
        </w:rPr>
        <w:t>The Hospital of Central Connecticut, Hartford Hospital</w:t>
      </w:r>
    </w:p>
    <w:p w14:paraId="2B27AB79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</w:pPr>
      <w:r w:rsidRPr="00A73305"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  <w:t>Longer Tourniquet Time in Total Knee Arthroplasty Leads to Increased Pain</w:t>
      </w:r>
    </w:p>
    <w:p w14:paraId="2BEA05D1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</w:pPr>
      <w:r w:rsidRPr="00A73305"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  <w:t>and MME Consumption</w:t>
      </w:r>
    </w:p>
    <w:p w14:paraId="4BEDF9FE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55Roman" w:hAnsi="CaeciliaLTPro-55Roman" w:cs="CaeciliaLTPro-55Roman"/>
          <w:color w:val="262626"/>
          <w:sz w:val="20"/>
          <w:szCs w:val="20"/>
        </w:rPr>
      </w:pPr>
      <w:r w:rsidRPr="00A73305">
        <w:rPr>
          <w:rFonts w:ascii="CaeciliaLTPro-55Roman" w:hAnsi="CaeciliaLTPro-55Roman" w:cs="CaeciliaLTPro-55Roman"/>
          <w:color w:val="262626"/>
          <w:sz w:val="20"/>
          <w:szCs w:val="20"/>
          <w:highlight w:val="yellow"/>
        </w:rPr>
        <w:t>Leah Goldberg, MSN, RN, CNOR</w:t>
      </w:r>
      <w:r w:rsidRPr="00A73305">
        <w:rPr>
          <w:rFonts w:ascii="CaeciliaLTPro-55Roman" w:hAnsi="CaeciliaLTPro-55Roman" w:cs="CaeciliaLTPro-55Roman"/>
          <w:color w:val="262626"/>
          <w:sz w:val="20"/>
          <w:szCs w:val="20"/>
        </w:rPr>
        <w:t>; Sara Strecker, PhD; Dan Witmer, MD;</w:t>
      </w:r>
    </w:p>
    <w:p w14:paraId="039C61AA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55Roman" w:hAnsi="CaeciliaLTPro-55Roman" w:cs="CaeciliaLTPro-55Roman"/>
          <w:color w:val="262626"/>
          <w:sz w:val="20"/>
          <w:szCs w:val="20"/>
        </w:rPr>
      </w:pPr>
      <w:r w:rsidRPr="00A73305">
        <w:rPr>
          <w:rFonts w:ascii="CaeciliaLTPro-55Roman" w:hAnsi="CaeciliaLTPro-55Roman" w:cs="CaeciliaLTPro-55Roman"/>
          <w:color w:val="262626"/>
          <w:sz w:val="20"/>
          <w:szCs w:val="20"/>
        </w:rPr>
        <w:t xml:space="preserve">Bob </w:t>
      </w:r>
      <w:proofErr w:type="spellStart"/>
      <w:r w:rsidRPr="00A73305">
        <w:rPr>
          <w:rFonts w:ascii="CaeciliaLTPro-55Roman" w:hAnsi="CaeciliaLTPro-55Roman" w:cs="CaeciliaLTPro-55Roman"/>
          <w:color w:val="262626"/>
          <w:sz w:val="20"/>
          <w:szCs w:val="20"/>
        </w:rPr>
        <w:t>Carangelo</w:t>
      </w:r>
      <w:proofErr w:type="spellEnd"/>
      <w:r w:rsidRPr="00A73305">
        <w:rPr>
          <w:rFonts w:ascii="CaeciliaLTPro-55Roman" w:hAnsi="CaeciliaLTPro-55Roman" w:cs="CaeciliaLTPro-55Roman"/>
          <w:color w:val="262626"/>
          <w:sz w:val="20"/>
          <w:szCs w:val="20"/>
        </w:rPr>
        <w:t>, MD</w:t>
      </w:r>
    </w:p>
    <w:p w14:paraId="215B68D0" w14:textId="77777777" w:rsidR="00320CDA" w:rsidRPr="00A73305" w:rsidRDefault="00320CDA" w:rsidP="00320CDA">
      <w:pPr>
        <w:rPr>
          <w:rFonts w:ascii="CaeciliaLTPro-45Light" w:hAnsi="CaeciliaLTPro-45Light" w:cs="CaeciliaLTPro-45Light"/>
          <w:color w:val="262626"/>
          <w:sz w:val="20"/>
          <w:szCs w:val="20"/>
        </w:rPr>
      </w:pPr>
      <w:r w:rsidRPr="00A73305">
        <w:rPr>
          <w:rFonts w:ascii="CaeciliaLTPro-45Light" w:hAnsi="CaeciliaLTPro-45Light" w:cs="CaeciliaLTPro-45Light"/>
          <w:color w:val="262626"/>
          <w:sz w:val="20"/>
          <w:szCs w:val="20"/>
        </w:rPr>
        <w:t>Bone &amp; Joint Institute at Hartford Hospital</w:t>
      </w:r>
    </w:p>
    <w:p w14:paraId="4AD0B3ED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</w:pPr>
      <w:r w:rsidRPr="00A73305"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  <w:t>Implementation of the Mini Nurse Academy©</w:t>
      </w:r>
    </w:p>
    <w:p w14:paraId="43936610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55Roman" w:hAnsi="CaeciliaLTPro-55Roman" w:cs="CaeciliaLTPro-55Roman"/>
          <w:color w:val="262626"/>
          <w:sz w:val="20"/>
          <w:szCs w:val="20"/>
        </w:rPr>
      </w:pPr>
      <w:r w:rsidRPr="00A73305">
        <w:rPr>
          <w:rFonts w:ascii="CaeciliaLTPro-55Roman" w:hAnsi="CaeciliaLTPro-55Roman" w:cs="CaeciliaLTPro-55Roman"/>
          <w:color w:val="262626"/>
          <w:sz w:val="20"/>
          <w:szCs w:val="20"/>
        </w:rPr>
        <w:t xml:space="preserve">Marlene D. Harris, MS, RN; </w:t>
      </w:r>
      <w:r w:rsidRPr="00A73305">
        <w:rPr>
          <w:rFonts w:ascii="CaeciliaLTPro-55Roman" w:hAnsi="CaeciliaLTPro-55Roman" w:cs="CaeciliaLTPro-55Roman"/>
          <w:color w:val="262626"/>
          <w:sz w:val="20"/>
          <w:szCs w:val="20"/>
          <w:highlight w:val="yellow"/>
        </w:rPr>
        <w:t>Marion James, MSN, RN</w:t>
      </w:r>
    </w:p>
    <w:p w14:paraId="08BF3AEC" w14:textId="77777777" w:rsidR="00320CDA" w:rsidRPr="00A73305" w:rsidRDefault="00320CDA" w:rsidP="00320CDA">
      <w:pPr>
        <w:rPr>
          <w:rFonts w:ascii="CaeciliaLTPro-45Light" w:hAnsi="CaeciliaLTPro-45Light" w:cs="CaeciliaLTPro-45Light"/>
          <w:color w:val="262626"/>
          <w:sz w:val="20"/>
          <w:szCs w:val="20"/>
        </w:rPr>
      </w:pPr>
      <w:r w:rsidRPr="00A73305">
        <w:rPr>
          <w:rFonts w:ascii="CaeciliaLTPro-45Light" w:hAnsi="CaeciliaLTPro-45Light" w:cs="CaeciliaLTPro-45Light"/>
          <w:color w:val="262626"/>
          <w:sz w:val="20"/>
          <w:szCs w:val="20"/>
        </w:rPr>
        <w:t>Hartford Hospital, Northern Connecticut Black Nurses Association Inc.</w:t>
      </w:r>
    </w:p>
    <w:p w14:paraId="2B4431AC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</w:pPr>
      <w:r w:rsidRPr="00A73305"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  <w:t>Stand up to Healthcare Violence: An Evidence-Based Intervention Project Providing</w:t>
      </w:r>
    </w:p>
    <w:p w14:paraId="72326754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</w:pPr>
      <w:r w:rsidRPr="00A73305"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  <w:t>De-escalation Training to Hospital Nurses</w:t>
      </w:r>
    </w:p>
    <w:p w14:paraId="12B2E52C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55Roman" w:hAnsi="CaeciliaLTPro-55Roman" w:cs="CaeciliaLTPro-55Roman"/>
          <w:color w:val="262626"/>
          <w:sz w:val="20"/>
          <w:szCs w:val="20"/>
        </w:rPr>
      </w:pPr>
      <w:r w:rsidRPr="00A73305">
        <w:rPr>
          <w:rFonts w:ascii="CaeciliaLTPro-55Roman" w:hAnsi="CaeciliaLTPro-55Roman" w:cs="CaeciliaLTPro-55Roman"/>
          <w:color w:val="262626"/>
          <w:sz w:val="20"/>
          <w:szCs w:val="20"/>
          <w:highlight w:val="yellow"/>
        </w:rPr>
        <w:t>Molly Porter, MSN, RN, CHPN</w:t>
      </w:r>
      <w:r w:rsidRPr="00A73305">
        <w:rPr>
          <w:rFonts w:ascii="CaeciliaLTPro-55Roman" w:hAnsi="CaeciliaLTPro-55Roman" w:cs="CaeciliaLTPro-55Roman"/>
          <w:color w:val="262626"/>
          <w:sz w:val="20"/>
          <w:szCs w:val="20"/>
        </w:rPr>
        <w:t xml:space="preserve">; </w:t>
      </w:r>
      <w:r w:rsidRPr="00A73305">
        <w:rPr>
          <w:rFonts w:ascii="CaeciliaLTPro-55Roman" w:hAnsi="CaeciliaLTPro-55Roman" w:cs="CaeciliaLTPro-55Roman"/>
          <w:color w:val="262626"/>
          <w:sz w:val="20"/>
          <w:szCs w:val="20"/>
          <w:highlight w:val="yellow"/>
        </w:rPr>
        <w:t>Karen Lucas Breda, RN, PhD</w:t>
      </w:r>
    </w:p>
    <w:p w14:paraId="740E92F0" w14:textId="77777777" w:rsidR="00320CDA" w:rsidRPr="00A73305" w:rsidRDefault="00320CDA" w:rsidP="00320CDA">
      <w:pPr>
        <w:rPr>
          <w:rFonts w:ascii="CaeciliaLTPro-45Light" w:hAnsi="CaeciliaLTPro-45Light" w:cs="CaeciliaLTPro-45Light"/>
          <w:color w:val="262626"/>
          <w:sz w:val="20"/>
          <w:szCs w:val="20"/>
        </w:rPr>
      </w:pPr>
      <w:r w:rsidRPr="00A73305">
        <w:rPr>
          <w:rFonts w:ascii="CaeciliaLTPro-45Light" w:hAnsi="CaeciliaLTPro-45Light" w:cs="CaeciliaLTPro-45Light"/>
          <w:color w:val="262626"/>
          <w:sz w:val="20"/>
          <w:szCs w:val="20"/>
        </w:rPr>
        <w:t>Charlotte Hungerford Hospital</w:t>
      </w:r>
    </w:p>
    <w:p w14:paraId="6E27E5BD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</w:pPr>
      <w:r w:rsidRPr="00A73305"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  <w:t>Perinatal Educational Series Designed for Patient Use: An Innovative Delivery Model</w:t>
      </w:r>
    </w:p>
    <w:p w14:paraId="0BA57AE0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</w:pPr>
      <w:r w:rsidRPr="00A73305">
        <w:rPr>
          <w:rFonts w:ascii="CaeciliaLTPro-75Bold" w:hAnsi="CaeciliaLTPro-75Bold" w:cs="CaeciliaLTPro-75Bold"/>
          <w:b/>
          <w:bCs/>
          <w:color w:val="262626"/>
          <w:sz w:val="20"/>
          <w:szCs w:val="20"/>
        </w:rPr>
        <w:t>Offering Equitable Access to Information on Postpartum Hemorrhage</w:t>
      </w:r>
    </w:p>
    <w:p w14:paraId="6667968D" w14:textId="77777777" w:rsidR="00320CDA" w:rsidRPr="00A73305" w:rsidRDefault="00320CDA" w:rsidP="00320CDA">
      <w:pPr>
        <w:autoSpaceDE w:val="0"/>
        <w:autoSpaceDN w:val="0"/>
        <w:adjustRightInd w:val="0"/>
        <w:spacing w:after="0" w:line="240" w:lineRule="auto"/>
        <w:rPr>
          <w:rFonts w:ascii="CaeciliaLTPro-55Roman" w:hAnsi="CaeciliaLTPro-55Roman" w:cs="CaeciliaLTPro-55Roman"/>
          <w:color w:val="262626"/>
          <w:sz w:val="20"/>
          <w:szCs w:val="20"/>
        </w:rPr>
      </w:pPr>
      <w:r w:rsidRPr="00A73305">
        <w:rPr>
          <w:rFonts w:ascii="CaeciliaLTPro-55Roman" w:hAnsi="CaeciliaLTPro-55Roman" w:cs="CaeciliaLTPro-55Roman"/>
          <w:color w:val="262626"/>
          <w:sz w:val="20"/>
          <w:szCs w:val="20"/>
          <w:highlight w:val="yellow"/>
        </w:rPr>
        <w:t>Daileann L. Hemmings, DNP, RN, CLC, CCM</w:t>
      </w:r>
    </w:p>
    <w:p w14:paraId="2F077B63" w14:textId="77777777" w:rsidR="00320CDA" w:rsidRPr="00A73305" w:rsidRDefault="00320CDA" w:rsidP="00320CDA">
      <w:pPr>
        <w:rPr>
          <w:sz w:val="20"/>
          <w:szCs w:val="20"/>
        </w:rPr>
      </w:pPr>
      <w:r w:rsidRPr="00A73305">
        <w:rPr>
          <w:rFonts w:ascii="CaeciliaLTPro-45Light" w:hAnsi="CaeciliaLTPro-45Light" w:cs="CaeciliaLTPro-45Light"/>
          <w:color w:val="262626"/>
          <w:sz w:val="20"/>
          <w:szCs w:val="20"/>
        </w:rPr>
        <w:t>Hartford Hospital</w:t>
      </w:r>
    </w:p>
    <w:p w14:paraId="00F7D0A5" w14:textId="77777777" w:rsidR="00320CDA" w:rsidRDefault="00320CDA" w:rsidP="00C15ABA">
      <w:pPr>
        <w:sectPr w:rsidR="00320CDA" w:rsidSect="00320CDA">
          <w:type w:val="continuous"/>
          <w:pgSz w:w="12240" w:h="15840"/>
          <w:pgMar w:top="1440" w:right="1440" w:bottom="1440" w:left="1440" w:header="720" w:footer="0" w:gutter="0"/>
          <w:cols w:num="2" w:space="720"/>
          <w:docGrid w:linePitch="360"/>
        </w:sectPr>
      </w:pPr>
    </w:p>
    <w:p w14:paraId="127DA155" w14:textId="37F9B093" w:rsidR="00336D20" w:rsidRPr="00C15ABA" w:rsidRDefault="00336D20" w:rsidP="00C15ABA"/>
    <w:sectPr w:rsidR="00336D20" w:rsidRPr="00C15ABA" w:rsidSect="00320CDA">
      <w:type w:val="continuous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9DDEA" w14:textId="77777777" w:rsidR="00336D20" w:rsidRDefault="00336D20" w:rsidP="00336D20">
      <w:pPr>
        <w:spacing w:after="0" w:line="240" w:lineRule="auto"/>
      </w:pPr>
      <w:r>
        <w:separator/>
      </w:r>
    </w:p>
  </w:endnote>
  <w:endnote w:type="continuationSeparator" w:id="0">
    <w:p w14:paraId="46AF0E11" w14:textId="77777777" w:rsidR="00336D20" w:rsidRDefault="00336D20" w:rsidP="00336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eciliaLTPro-75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eciliaLTPro-45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eciliaLTPro-55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716C" w14:textId="3E777EC1" w:rsidR="00336D20" w:rsidRDefault="00336D20">
    <w:pPr>
      <w:pStyle w:val="Footer"/>
    </w:pPr>
    <w:r w:rsidRPr="00336D20">
      <w:rPr>
        <w:noProof/>
      </w:rPr>
      <w:drawing>
        <wp:anchor distT="0" distB="0" distL="114300" distR="114300" simplePos="0" relativeHeight="251658240" behindDoc="0" locked="0" layoutInCell="1" allowOverlap="1" wp14:anchorId="49DF0935" wp14:editId="089B6A08">
          <wp:simplePos x="0" y="0"/>
          <wp:positionH relativeFrom="column">
            <wp:posOffset>-847725</wp:posOffset>
          </wp:positionH>
          <wp:positionV relativeFrom="paragraph">
            <wp:posOffset>92710</wp:posOffset>
          </wp:positionV>
          <wp:extent cx="7631430" cy="612140"/>
          <wp:effectExtent l="0" t="0" r="762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B4E7A" w14:textId="77777777" w:rsidR="00336D20" w:rsidRDefault="00336D20" w:rsidP="00336D20">
      <w:pPr>
        <w:spacing w:after="0" w:line="240" w:lineRule="auto"/>
      </w:pPr>
      <w:r>
        <w:separator/>
      </w:r>
    </w:p>
  </w:footnote>
  <w:footnote w:type="continuationSeparator" w:id="0">
    <w:p w14:paraId="5DD52531" w14:textId="77777777" w:rsidR="00336D20" w:rsidRDefault="00336D20" w:rsidP="00336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9F52" w14:textId="43E87175" w:rsidR="00336D20" w:rsidRDefault="00336D20" w:rsidP="00336D20">
    <w:pPr>
      <w:pStyle w:val="Header"/>
      <w:jc w:val="center"/>
    </w:pPr>
    <w:r>
      <w:rPr>
        <w:noProof/>
      </w:rPr>
      <w:drawing>
        <wp:inline distT="0" distB="0" distL="0" distR="0" wp14:anchorId="47556F0B" wp14:editId="7A3D8A22">
          <wp:extent cx="5124450" cy="1524743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-ENHP-Nursing-colo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4459" cy="1527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8E"/>
    <w:rsid w:val="001A20A3"/>
    <w:rsid w:val="00320CDA"/>
    <w:rsid w:val="00336D20"/>
    <w:rsid w:val="004119E5"/>
    <w:rsid w:val="006C3F30"/>
    <w:rsid w:val="00B2228E"/>
    <w:rsid w:val="00C15ABA"/>
    <w:rsid w:val="00CE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A3947E"/>
  <w15:chartTrackingRefBased/>
  <w15:docId w15:val="{0AE39376-3465-43C9-A1B4-BE9D63EC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D20"/>
  </w:style>
  <w:style w:type="paragraph" w:styleId="Footer">
    <w:name w:val="footer"/>
    <w:basedOn w:val="Normal"/>
    <w:link w:val="FooterChar"/>
    <w:uiPriority w:val="99"/>
    <w:unhideWhenUsed/>
    <w:rsid w:val="00336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07DBCB822EB4281D17C259A956181" ma:contentTypeVersion="11" ma:contentTypeDescription="Create a new document." ma:contentTypeScope="" ma:versionID="d21a16a51eb6bee2600d7ebc64be0f55">
  <xsd:schema xmlns:xsd="http://www.w3.org/2001/XMLSchema" xmlns:xs="http://www.w3.org/2001/XMLSchema" xmlns:p="http://schemas.microsoft.com/office/2006/metadata/properties" xmlns:ns3="801bb11a-fb75-4eef-ac68-b6f207fe94a5" xmlns:ns4="c9835ce6-27de-456e-a4c6-9f38c3ead787" targetNamespace="http://schemas.microsoft.com/office/2006/metadata/properties" ma:root="true" ma:fieldsID="6b644d122f03d2ee949f4ec5f612595b" ns3:_="" ns4:_="">
    <xsd:import namespace="801bb11a-fb75-4eef-ac68-b6f207fe94a5"/>
    <xsd:import namespace="c9835ce6-27de-456e-a4c6-9f38c3ead7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bb11a-fb75-4eef-ac68-b6f207fe94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35ce6-27de-456e-a4c6-9f38c3ead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9379D-4649-417A-B97D-9F04E4AF110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9835ce6-27de-456e-a4c6-9f38c3ead787"/>
    <ds:schemaRef ds:uri="801bb11a-fb75-4eef-ac68-b6f207fe94a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B26DCA-9608-4BCE-A7BC-B949EF807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bb11a-fb75-4eef-ac68-b6f207fe94a5"/>
    <ds:schemaRef ds:uri="c9835ce6-27de-456e-a4c6-9f38c3ead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7602D-85B8-40B1-BDC9-B1F68341DD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Varanelli</dc:creator>
  <cp:keywords/>
  <dc:description/>
  <cp:lastModifiedBy>Ouellet, Edith</cp:lastModifiedBy>
  <cp:revision>2</cp:revision>
  <dcterms:created xsi:type="dcterms:W3CDTF">2024-10-22T19:19:00Z</dcterms:created>
  <dcterms:modified xsi:type="dcterms:W3CDTF">2024-10-22T19:19:00Z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0x0101002FB07DBCB822EB4281D17C259A956181</vt:lpwstr>
  </property>
</Properties>
</file>